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473" w:type="dxa"/>
        <w:tblInd w:w="-137"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47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473" w:type="dxa"/>
            <w:tcBorders>
              <w:top w:val="nil"/>
              <w:left w:val="nil"/>
              <w:bottom w:val="nil"/>
              <w:right w:val="nil"/>
            </w:tcBorders>
            <w:vAlign w:val="center"/>
          </w:tcPr>
          <w:p>
            <w:pPr>
              <w:widowControl/>
              <w:rPr>
                <w:rFonts w:ascii="仿宋" w:hAnsi="仿宋" w:eastAsia="仿宋" w:cs="宋体"/>
                <w:bCs/>
                <w:kern w:val="0"/>
                <w:sz w:val="28"/>
                <w:szCs w:val="28"/>
              </w:rPr>
            </w:pPr>
          </w:p>
          <w:p>
            <w:pPr>
              <w:widowControl/>
              <w:jc w:val="center"/>
              <w:rPr>
                <w:rFonts w:hint="eastAsia" w:ascii="黑体" w:hAnsi="黑体" w:eastAsia="黑体" w:cs="宋体"/>
                <w:kern w:val="0"/>
                <w:sz w:val="28"/>
                <w:szCs w:val="28"/>
              </w:rPr>
            </w:pPr>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473" w:type="dxa"/>
            <w:tcBorders>
              <w:top w:val="nil"/>
              <w:left w:val="nil"/>
              <w:bottom w:val="nil"/>
              <w:right w:val="nil"/>
            </w:tcBorders>
            <w:vAlign w:val="center"/>
          </w:tcPr>
          <w:p>
            <w:pPr>
              <w:widowControl/>
              <w:jc w:val="left"/>
              <w:rPr>
                <w:rFonts w:ascii="仿宋" w:hAnsi="仿宋" w:eastAsia="仿宋" w:cs="宋体"/>
                <w:kern w:val="0"/>
                <w:sz w:val="24"/>
                <w:szCs w:val="24"/>
              </w:rPr>
            </w:pPr>
            <w:r>
              <w:rPr>
                <w:rFonts w:ascii="仿宋" w:hAnsi="仿宋" w:eastAsia="仿宋" w:cs="宋体"/>
                <w:kern w:val="0"/>
                <w:sz w:val="24"/>
                <w:szCs w:val="24"/>
              </w:rPr>
              <w:t>考试科目代码及名称：</w:t>
            </w:r>
            <w:r>
              <w:rPr>
                <w:rFonts w:ascii="Calibri" w:hAnsi="Calibri" w:eastAsia="仿宋" w:cs="Calibri"/>
                <w:kern w:val="0"/>
                <w:sz w:val="24"/>
                <w:szCs w:val="24"/>
                <w:u w:val="single"/>
              </w:rPr>
              <w:t> </w:t>
            </w:r>
            <w:r>
              <w:rPr>
                <w:rFonts w:ascii="仿宋" w:hAnsi="仿宋" w:eastAsia="仿宋" w:cs="宋体"/>
                <w:kern w:val="0"/>
                <w:sz w:val="24"/>
                <w:szCs w:val="24"/>
                <w:u w:val="single"/>
              </w:rPr>
              <w:t xml:space="preserve"> 867</w:t>
            </w:r>
            <w:r>
              <w:rPr>
                <w:rFonts w:hint="eastAsia" w:ascii="仿宋" w:hAnsi="仿宋" w:eastAsia="仿宋" w:cs="宋体"/>
                <w:kern w:val="0"/>
                <w:sz w:val="24"/>
                <w:szCs w:val="24"/>
                <w:u w:val="single"/>
              </w:rPr>
              <w:t>测树学</w:t>
            </w:r>
            <w:r>
              <w:rPr>
                <w:rFonts w:ascii="仿宋" w:hAnsi="仿宋" w:eastAsia="仿宋" w:cs="宋体"/>
                <w:kern w:val="0"/>
                <w:sz w:val="24"/>
                <w:szCs w:val="24"/>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473"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szCs w:val="24"/>
              </w:rPr>
            </w:pPr>
            <w:r>
              <w:rPr>
                <w:rFonts w:ascii="仿宋" w:hAnsi="仿宋" w:eastAsia="仿宋" w:cs="宋体"/>
                <w:b/>
                <w:kern w:val="0"/>
                <w:sz w:val="24"/>
                <w:szCs w:val="24"/>
              </w:rPr>
              <w:t xml:space="preserve">一、考试基本要求 </w:t>
            </w:r>
            <w:r>
              <w:rPr>
                <w:rFonts w:ascii="仿宋" w:hAnsi="仿宋" w:eastAsia="仿宋" w:cs="宋体"/>
                <w:kern w:val="0"/>
                <w:sz w:val="24"/>
                <w:szCs w:val="24"/>
              </w:rPr>
              <w:t xml:space="preserve"> </w:t>
            </w:r>
          </w:p>
          <w:p>
            <w:pPr>
              <w:widowControl/>
              <w:ind w:firstLine="480" w:firstLineChars="200"/>
              <w:jc w:val="left"/>
              <w:rPr>
                <w:rFonts w:hint="eastAsia" w:ascii="仿宋" w:hAnsi="仿宋" w:eastAsia="仿宋" w:cs="宋体"/>
                <w:kern w:val="0"/>
                <w:sz w:val="24"/>
                <w:szCs w:val="24"/>
              </w:rPr>
            </w:pPr>
            <w:r>
              <w:rPr>
                <w:rFonts w:ascii="仿宋" w:hAnsi="仿宋" w:eastAsia="仿宋" w:cs="宋体"/>
                <w:kern w:val="0"/>
                <w:sz w:val="24"/>
                <w:szCs w:val="24"/>
              </w:rPr>
              <w:t>本科目考试着重考核考生掌握</w:t>
            </w:r>
            <w:r>
              <w:rPr>
                <w:rFonts w:hint="eastAsia" w:ascii="仿宋" w:hAnsi="仿宋" w:eastAsia="仿宋" w:cs="宋体"/>
                <w:kern w:val="0"/>
                <w:sz w:val="24"/>
                <w:szCs w:val="24"/>
              </w:rPr>
              <w:t>测树的</w:t>
            </w:r>
            <w:r>
              <w:rPr>
                <w:rFonts w:ascii="仿宋" w:hAnsi="仿宋" w:eastAsia="仿宋" w:cs="宋体"/>
                <w:kern w:val="0"/>
                <w:sz w:val="24"/>
                <w:szCs w:val="24"/>
              </w:rPr>
              <w:t>基本概念、基本思想、基本分析方法和基本理论的程度，要求考生对</w:t>
            </w:r>
            <w:r>
              <w:rPr>
                <w:rFonts w:hint="eastAsia" w:ascii="仿宋" w:hAnsi="仿宋" w:eastAsia="仿宋" w:cs="宋体"/>
                <w:kern w:val="0"/>
                <w:sz w:val="24"/>
                <w:szCs w:val="24"/>
              </w:rPr>
              <w:t>森林资源测定方法</w:t>
            </w:r>
            <w:r>
              <w:rPr>
                <w:rFonts w:ascii="仿宋" w:hAnsi="仿宋" w:eastAsia="仿宋" w:cs="宋体"/>
                <w:kern w:val="0"/>
                <w:sz w:val="24"/>
                <w:szCs w:val="24"/>
              </w:rPr>
              <w:t>体系的基本框架有一个比较全面的了解，并能综合运用所学的</w:t>
            </w:r>
            <w:r>
              <w:rPr>
                <w:rFonts w:hint="eastAsia" w:ascii="仿宋" w:hAnsi="仿宋" w:eastAsia="仿宋" w:cs="宋体"/>
                <w:kern w:val="0"/>
                <w:sz w:val="24"/>
                <w:szCs w:val="24"/>
              </w:rPr>
              <w:t>林业</w:t>
            </w:r>
            <w:r>
              <w:rPr>
                <w:rFonts w:ascii="仿宋" w:hAnsi="仿宋" w:eastAsia="仿宋" w:cs="宋体"/>
                <w:kern w:val="0"/>
                <w:sz w:val="24"/>
                <w:szCs w:val="24"/>
              </w:rPr>
              <w:t>知识分析</w:t>
            </w:r>
            <w:r>
              <w:rPr>
                <w:rFonts w:hint="eastAsia" w:ascii="仿宋" w:hAnsi="仿宋" w:eastAsia="仿宋" w:cs="宋体"/>
                <w:kern w:val="0"/>
                <w:sz w:val="24"/>
                <w:szCs w:val="24"/>
              </w:rPr>
              <w:t>现代林业发展中相关专业</w:t>
            </w:r>
            <w:r>
              <w:rPr>
                <w:rFonts w:ascii="仿宋" w:hAnsi="仿宋" w:eastAsia="仿宋" w:cs="宋体"/>
                <w:kern w:val="0"/>
                <w:sz w:val="24"/>
                <w:szCs w:val="24"/>
              </w:rPr>
              <w:t>问题。</w:t>
            </w: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二</w:t>
            </w:r>
            <w:r>
              <w:rPr>
                <w:rFonts w:ascii="仿宋" w:hAnsi="仿宋" w:eastAsia="仿宋" w:cs="宋体"/>
                <w:b/>
                <w:kern w:val="0"/>
                <w:sz w:val="24"/>
                <w:szCs w:val="24"/>
              </w:rPr>
              <w:t>、适用范围</w:t>
            </w:r>
          </w:p>
          <w:p>
            <w:pPr>
              <w:widowControl/>
              <w:ind w:firstLine="480"/>
              <w:jc w:val="left"/>
              <w:rPr>
                <w:rFonts w:hint="eastAsia" w:ascii="仿宋" w:hAnsi="仿宋" w:eastAsia="仿宋" w:cs="宋体"/>
                <w:kern w:val="0"/>
                <w:sz w:val="24"/>
                <w:szCs w:val="24"/>
              </w:rPr>
            </w:pPr>
            <w:r>
              <w:rPr>
                <w:rFonts w:hint="eastAsia" w:ascii="仿宋" w:hAnsi="仿宋" w:eastAsia="仿宋" w:cs="宋体"/>
                <w:kern w:val="0"/>
                <w:sz w:val="24"/>
                <w:szCs w:val="24"/>
              </w:rPr>
              <w:t>适用于森林经理专业</w:t>
            </w: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三、</w:t>
            </w:r>
            <w:r>
              <w:rPr>
                <w:rFonts w:ascii="仿宋" w:hAnsi="仿宋" w:eastAsia="仿宋" w:cs="宋体"/>
                <w:b/>
                <w:kern w:val="0"/>
                <w:sz w:val="24"/>
                <w:szCs w:val="24"/>
              </w:rPr>
              <w:t>考试形式</w:t>
            </w:r>
          </w:p>
          <w:p>
            <w:pPr>
              <w:widowControl/>
              <w:jc w:val="left"/>
              <w:rPr>
                <w:rFonts w:hint="eastAsia" w:ascii="仿宋" w:hAnsi="仿宋" w:eastAsia="仿宋" w:cs="宋体"/>
                <w:kern w:val="0"/>
                <w:sz w:val="24"/>
                <w:szCs w:val="24"/>
              </w:rPr>
            </w:pPr>
            <w:r>
              <w:rPr>
                <w:rFonts w:ascii="仿宋" w:hAnsi="仿宋" w:eastAsia="仿宋" w:cs="宋体"/>
                <w:kern w:val="0"/>
                <w:sz w:val="24"/>
                <w:szCs w:val="24"/>
              </w:rPr>
              <w:t xml:space="preserve">     </w:t>
            </w:r>
            <w:r>
              <w:rPr>
                <w:rFonts w:hint="eastAsia" w:ascii="仿宋" w:hAnsi="仿宋" w:eastAsia="仿宋" w:cs="宋体"/>
                <w:kern w:val="0"/>
                <w:sz w:val="24"/>
                <w:szCs w:val="24"/>
              </w:rPr>
              <w:t>闭卷</w:t>
            </w:r>
            <w:r>
              <w:rPr>
                <w:rFonts w:ascii="仿宋" w:hAnsi="仿宋" w:eastAsia="仿宋" w:cs="宋体"/>
                <w:kern w:val="0"/>
                <w:sz w:val="24"/>
                <w:szCs w:val="24"/>
              </w:rPr>
              <w:t>，</w:t>
            </w:r>
            <w:r>
              <w:rPr>
                <w:rFonts w:hint="eastAsia" w:ascii="仿宋" w:hAnsi="仿宋" w:eastAsia="仿宋" w:cs="宋体"/>
                <w:kern w:val="0"/>
                <w:sz w:val="24"/>
                <w:szCs w:val="24"/>
              </w:rPr>
              <w:t>180分钟</w:t>
            </w:r>
          </w:p>
          <w:p>
            <w:pPr>
              <w:widowControl/>
              <w:jc w:val="left"/>
              <w:rPr>
                <w:rFonts w:ascii="仿宋" w:hAnsi="仿宋" w:eastAsia="仿宋" w:cs="宋体"/>
                <w:kern w:val="0"/>
                <w:sz w:val="24"/>
                <w:szCs w:val="24"/>
              </w:rPr>
            </w:pPr>
            <w:r>
              <w:rPr>
                <w:rFonts w:hint="eastAsia" w:ascii="仿宋" w:hAnsi="仿宋" w:eastAsia="仿宋" w:cs="宋体"/>
                <w:b/>
                <w:kern w:val="0"/>
                <w:sz w:val="24"/>
                <w:szCs w:val="24"/>
              </w:rPr>
              <w:t>四</w:t>
            </w:r>
            <w:r>
              <w:rPr>
                <w:rFonts w:ascii="仿宋" w:hAnsi="仿宋" w:eastAsia="仿宋" w:cs="宋体"/>
                <w:b/>
                <w:kern w:val="0"/>
                <w:sz w:val="24"/>
                <w:szCs w:val="24"/>
              </w:rPr>
              <w:t xml:space="preserve">、考试内容和考试要求 </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绪论</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1、掌握测树学的概念、目的与任务。</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2、理解森林调查的种类、对象、方法与目的。</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第1章单株树木材积的测定</w:t>
            </w:r>
          </w:p>
          <w:p>
            <w:pPr>
              <w:widowControl/>
              <w:spacing w:line="360" w:lineRule="auto"/>
              <w:ind w:firstLine="480" w:firstLineChars="200"/>
              <w:jc w:val="left"/>
              <w:rPr>
                <w:rFonts w:hint="eastAsia"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rPr>
              <w:t>、了解树干横断面和纵断面的形状特征，孔兹干曲线方程，树干完顶体求积公式。</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2、掌握近似求积式及其应用。</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3、理解区分求积法的原则与方法。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4、了解形数和形率概念、种类，掌握胸高形数与胸高形率的近似关系。</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第2章林分调查</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1、了解林分、林分调查因子的概念。</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2、理解主要林分调查因子的概念、用途及其测算方法。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3、了解标准地调查的目的与工作步骤。</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4、掌握标准地调查内业处理方法。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第3章林分结构</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1、了解研究林分直径结构规律的意义。</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2、了解同龄纯林与异龄林直径结构的主要特征。</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3、了解同龄纯林胸径与树高结构规律</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第4章立地质量及林分密度</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1、了解立地质量的主要评价方法。</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2、了解地位指数表的编制方法和使用方法。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3、了解主要的林分密度指标。</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4、了解林分密度对林木生长的影响。</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第5章林分蓄积量测定</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1、掌握平均标准木法和等株径级标准木法测定林分蓄积量的工作步骤。</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2、了解一元材积表和二元材积表、二元形高表的编制方法。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3、掌握利用二元材积表、二元形高表测定林分蓄积量的工作步骤与计算方法。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4、掌握标准表法和平均实验形数法测定林分蓄积量的工作步骤与计算方法。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第6章林分材种出材量测定</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1、掌握立木、伐倒木、原条、原木的概念及区别。</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2、了解原条、原木、国家木材标准。</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3、解材种出材率、材种出材率曲线和林分材种结构规律、材种出材率表。</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4、了解削度、削度方程和材积比方程。</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第7章树木生长量测定</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1、了解树木生长量的分类、树木生长过程和生长曲线、生长方程。</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2、掌握平均生长量与连年生长量的主要关系及其证明方法。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3、理解各调查因子生长率之间的关系。</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4、了解树干解析的意义、工作步骤与要点。</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5、掌握树干解析内业处理方法。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第8章林分生长量测定</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1、了解林分生长的特点及与单木生长的异同，林分生长量类型划分。</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2、掌握一次调查法确定林分蓄积生长量的方法，特别是材积差法、一元材积指数法、林分表法。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第9章角规测树</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1、理解角规测树的种原理，至少能够用同心圆原理证明角规测树的基本原理。</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2、熟悉角规测树的技术要点。</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3、掌握用角规测定林分胸高断面积、株数、平均胸径、平均高和蓄积量的方法。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4、了解用角规测定林分生长量的计算方法</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第1</w:t>
            </w:r>
            <w:r>
              <w:rPr>
                <w:rFonts w:ascii="仿宋" w:hAnsi="仿宋" w:eastAsia="仿宋" w:cs="宋体"/>
                <w:kern w:val="0"/>
                <w:sz w:val="24"/>
                <w:szCs w:val="24"/>
              </w:rPr>
              <w:t>0</w:t>
            </w:r>
            <w:r>
              <w:rPr>
                <w:rFonts w:hint="eastAsia" w:ascii="仿宋" w:hAnsi="仿宋" w:eastAsia="仿宋" w:cs="宋体"/>
                <w:kern w:val="0"/>
                <w:sz w:val="24"/>
                <w:szCs w:val="24"/>
              </w:rPr>
              <w:t>章林分生长量和收获量预估模型</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1、了解全林分模型、径阶分布模型和单木生长模型。</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2、了解正常收获表、经验收获表和可变密度收获表。</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第11章林分生物量的测定</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1、了解森林生产力和生物量。</w:t>
            </w:r>
          </w:p>
          <w:p>
            <w:pPr>
              <w:widowControl/>
              <w:spacing w:line="360" w:lineRule="auto"/>
              <w:ind w:firstLine="480" w:firstLineChars="200"/>
              <w:jc w:val="left"/>
              <w:rPr>
                <w:rFonts w:hint="eastAsia" w:ascii="仿宋" w:hAnsi="仿宋" w:eastAsia="仿宋" w:cs="宋体"/>
                <w:kern w:val="0"/>
                <w:sz w:val="24"/>
                <w:szCs w:val="24"/>
              </w:rPr>
            </w:pPr>
            <w:r>
              <w:rPr>
                <w:rFonts w:ascii="仿宋" w:hAnsi="仿宋" w:eastAsia="仿宋" w:cs="宋体"/>
                <w:kern w:val="0"/>
                <w:sz w:val="24"/>
                <w:szCs w:val="24"/>
              </w:rPr>
              <w:t>2</w:t>
            </w:r>
            <w:r>
              <w:rPr>
                <w:rFonts w:hint="eastAsia" w:ascii="仿宋" w:hAnsi="仿宋" w:eastAsia="仿宋" w:cs="宋体"/>
                <w:kern w:val="0"/>
                <w:sz w:val="24"/>
                <w:szCs w:val="24"/>
              </w:rPr>
              <w:t>、掌握生物量的测定方法。</w:t>
            </w:r>
          </w:p>
          <w:p>
            <w:pPr>
              <w:widowControl/>
              <w:spacing w:line="360" w:lineRule="auto"/>
              <w:ind w:firstLine="480" w:firstLineChars="200"/>
              <w:jc w:val="left"/>
              <w:rPr>
                <w:rFonts w:hint="eastAsia" w:ascii="仿宋" w:hAnsi="仿宋" w:eastAsia="仿宋" w:cs="宋体"/>
                <w:kern w:val="0"/>
                <w:sz w:val="24"/>
                <w:szCs w:val="24"/>
              </w:rPr>
            </w:pPr>
          </w:p>
          <w:p>
            <w:pPr>
              <w:widowControl/>
              <w:spacing w:line="360" w:lineRule="auto"/>
              <w:ind w:firstLine="480" w:firstLineChars="200"/>
              <w:jc w:val="left"/>
              <w:rPr>
                <w:rFonts w:hint="eastAsia" w:ascii="仿宋" w:hAnsi="仿宋" w:eastAsia="仿宋" w:cs="宋体"/>
                <w:kern w:val="0"/>
                <w:sz w:val="24"/>
                <w:szCs w:val="24"/>
              </w:rPr>
            </w:pPr>
          </w:p>
          <w:p>
            <w:pPr>
              <w:widowControl/>
              <w:spacing w:line="360" w:lineRule="auto"/>
              <w:ind w:firstLine="480" w:firstLineChars="200"/>
              <w:jc w:val="left"/>
              <w:rPr>
                <w:rFonts w:hint="eastAsia" w:ascii="仿宋" w:hAnsi="仿宋" w:eastAsia="仿宋" w:cs="宋体"/>
                <w:kern w:val="0"/>
                <w:sz w:val="24"/>
                <w:szCs w:val="24"/>
              </w:rPr>
            </w:pPr>
            <w:bookmarkStart w:id="0" w:name="_GoBack"/>
            <w:bookmarkEnd w:id="0"/>
            <w:r>
              <w:rPr>
                <w:rFonts w:hint="eastAsia" w:ascii="仿宋" w:hAnsi="仿宋" w:eastAsia="仿宋" w:cs="宋体"/>
                <w:kern w:val="0"/>
                <w:sz w:val="24"/>
                <w:szCs w:val="24"/>
              </w:rPr>
              <w:t>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CAE"/>
    <w:rsid w:val="007C1CAE"/>
    <w:rsid w:val="009E6F7F"/>
    <w:rsid w:val="21BC1BB2"/>
    <w:rsid w:val="45834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gzu</Company>
  <Pages>3</Pages>
  <Words>197</Words>
  <Characters>1127</Characters>
  <Lines>9</Lines>
  <Paragraphs>2</Paragraphs>
  <ScaleCrop>false</ScaleCrop>
  <LinksUpToDate>false</LinksUpToDate>
  <CharactersWithSpaces>1322</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2017-10-16T07:31:00Z</dcterms:created>
  <dc:creator>xbany</dc:creator>
  <cp:lastModifiedBy>Administrator</cp:lastModifiedBy>
  <dcterms:modified xsi:type="dcterms:W3CDTF">2017-10-21T01:54:26Z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